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AD" w:rsidRDefault="007301AD" w:rsidP="007301A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7301AD" w:rsidRDefault="007301AD" w:rsidP="007301AD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>Załącznik nr 5</w:t>
      </w:r>
    </w:p>
    <w:p w:rsidR="007301AD" w:rsidRPr="005D0A4F" w:rsidRDefault="007301AD" w:rsidP="007301AD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 w:rsidRPr="008A06BC">
        <w:rPr>
          <w:rFonts w:asciiTheme="minorHAnsi" w:hAnsiTheme="minorHAnsi"/>
          <w:i/>
        </w:rPr>
        <w:t>WZÓR</w:t>
      </w:r>
    </w:p>
    <w:p w:rsidR="007301AD" w:rsidRPr="00AE24D0" w:rsidRDefault="007301AD" w:rsidP="007301AD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:rsidR="007301AD" w:rsidRPr="007F534A" w:rsidRDefault="007301AD" w:rsidP="007301AD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:rsidR="007301AD" w:rsidRPr="00AE24D0" w:rsidRDefault="007301AD" w:rsidP="007301AD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7301AD" w:rsidRPr="00AE24D0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7301AD" w:rsidRPr="00AE24D0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Pr="005D0A4F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7301AD" w:rsidRPr="00AE24D0" w:rsidTr="005935C0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AD" w:rsidRPr="00AE24D0" w:rsidRDefault="007301AD" w:rsidP="005935C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7301AD" w:rsidRPr="00AE24D0" w:rsidTr="005935C0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AD" w:rsidRPr="00AE24D0" w:rsidRDefault="007301AD" w:rsidP="005935C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301AD" w:rsidRPr="00AE24D0" w:rsidRDefault="007301AD" w:rsidP="007301AD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7301AD" w:rsidRPr="00AE24D0" w:rsidTr="005935C0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AD" w:rsidRPr="00AE24D0" w:rsidRDefault="007301AD" w:rsidP="005935C0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</w:rPr>
            </w:pPr>
          </w:p>
        </w:tc>
      </w:tr>
      <w:tr w:rsidR="007301AD" w:rsidRPr="00AE24D0" w:rsidTr="005935C0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AD" w:rsidRPr="00AE24D0" w:rsidRDefault="007301AD" w:rsidP="005935C0">
            <w:pPr>
              <w:spacing w:before="240" w:after="240"/>
              <w:rPr>
                <w:rFonts w:asciiTheme="minorHAnsi" w:eastAsia="Arial" w:hAnsiTheme="minorHAnsi" w:cs="Calibri"/>
                <w:b/>
              </w:rPr>
            </w:pPr>
          </w:p>
        </w:tc>
      </w:tr>
      <w:tr w:rsidR="007301AD" w:rsidRPr="00AE24D0" w:rsidTr="005935C0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1AD" w:rsidRPr="00AE24D0" w:rsidRDefault="007301AD" w:rsidP="005935C0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spacing w:before="240" w:after="240"/>
              <w:rPr>
                <w:rFonts w:asciiTheme="minorHAnsi" w:eastAsia="Arial" w:hAnsiTheme="minorHAnsi" w:cs="Calibri"/>
                <w:b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1AD" w:rsidRPr="00AE24D0" w:rsidRDefault="007301AD" w:rsidP="005935C0">
            <w:pPr>
              <w:spacing w:before="240" w:after="240"/>
              <w:rPr>
                <w:rFonts w:asciiTheme="minorHAnsi" w:eastAsia="Arial" w:hAnsiTheme="minorHAnsi" w:cs="Calibri"/>
              </w:rPr>
            </w:pPr>
          </w:p>
        </w:tc>
      </w:tr>
    </w:tbl>
    <w:p w:rsidR="007301AD" w:rsidRPr="00AE24D0" w:rsidRDefault="007301AD" w:rsidP="007301AD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7301AD" w:rsidRPr="00AE24D0" w:rsidTr="005935C0">
        <w:tc>
          <w:tcPr>
            <w:tcW w:w="10774" w:type="dxa"/>
            <w:shd w:val="clear" w:color="auto" w:fill="C4BC96"/>
          </w:tcPr>
          <w:p w:rsidR="007301AD" w:rsidRPr="00AE24D0" w:rsidRDefault="007301AD" w:rsidP="005935C0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I. Sprawozdanie merytoryczne</w:t>
            </w:r>
          </w:p>
        </w:tc>
      </w:tr>
    </w:tbl>
    <w:p w:rsidR="007301AD" w:rsidRPr="00AE24D0" w:rsidRDefault="007301AD" w:rsidP="007301AD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7301AD" w:rsidRPr="00AE24D0" w:rsidTr="005935C0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1AD" w:rsidRPr="00AE24D0" w:rsidRDefault="007301AD" w:rsidP="005935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7301AD" w:rsidRPr="00AE24D0" w:rsidTr="005935C0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1AD" w:rsidRPr="00AE24D0" w:rsidRDefault="007301AD" w:rsidP="005935C0">
            <w:pPr>
              <w:rPr>
                <w:rFonts w:asciiTheme="minorHAnsi" w:hAnsiTheme="minorHAnsi" w:cs="Calibri"/>
              </w:rPr>
            </w:pPr>
          </w:p>
        </w:tc>
      </w:tr>
    </w:tbl>
    <w:p w:rsidR="007301AD" w:rsidRPr="00AE24D0" w:rsidRDefault="007301AD" w:rsidP="007301AD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7301AD" w:rsidRPr="00AE24D0" w:rsidTr="005935C0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1AD" w:rsidRPr="00AE24D0" w:rsidRDefault="007301AD" w:rsidP="005935C0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7301AD" w:rsidRPr="00AE24D0" w:rsidTr="005935C0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1AD" w:rsidRPr="00AE24D0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Pr="00AE24D0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Pr="00AE24D0" w:rsidRDefault="007301AD" w:rsidP="005935C0">
            <w:pPr>
              <w:rPr>
                <w:rFonts w:asciiTheme="minorHAnsi" w:hAnsiTheme="minorHAnsi" w:cs="Calibri"/>
              </w:rPr>
            </w:pPr>
          </w:p>
        </w:tc>
      </w:tr>
      <w:tr w:rsidR="007301AD" w:rsidRPr="00AE24D0" w:rsidTr="005935C0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7301AD" w:rsidRPr="00AE24D0" w:rsidRDefault="007301AD" w:rsidP="005935C0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7301AD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301AD" w:rsidRPr="003A2508" w:rsidTr="005935C0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301AD" w:rsidRPr="00271F23" w:rsidRDefault="007301AD" w:rsidP="007301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2020</w:t>
            </w:r>
          </w:p>
        </w:tc>
      </w:tr>
      <w:tr w:rsidR="007301AD" w:rsidRPr="003A2508" w:rsidTr="005935C0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301AD" w:rsidRPr="003A2508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301AD" w:rsidRPr="003A2508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301AD" w:rsidRPr="007F534A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301AD" w:rsidRPr="003A2508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301AD" w:rsidRPr="007F534A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301AD" w:rsidRPr="003A2508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301AD" w:rsidRPr="003A2508" w:rsidTr="005935C0">
        <w:tc>
          <w:tcPr>
            <w:tcW w:w="1196" w:type="pct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Wynagrodzenia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7200,00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7131,16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Zakup sprzętu, strojów do treningów i meczów 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1500,00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1602,30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.1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3.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Wynajem sal na treningi i mecze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1930,00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Udział w turniejach i meczach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Transport, wyżywienie  zawodników na turnieje  i treningi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1630,00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Opłaty wpisowe, związkowe, diety sędziowskie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964,00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2902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301AD" w:rsidRPr="00E317BC" w:rsidRDefault="007301AD" w:rsidP="005935C0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17BC">
              <w:rPr>
                <w:rFonts w:asciiTheme="minorHAnsi" w:hAnsiTheme="minorHAnsi" w:cstheme="minorHAnsi"/>
                <w:b/>
                <w:sz w:val="18"/>
                <w:szCs w:val="20"/>
              </w:rPr>
              <w:t>13 200,00</w:t>
            </w:r>
          </w:p>
        </w:tc>
        <w:tc>
          <w:tcPr>
            <w:tcW w:w="1119" w:type="pct"/>
          </w:tcPr>
          <w:p w:rsidR="007301AD" w:rsidRPr="00E317BC" w:rsidRDefault="007301AD" w:rsidP="005935C0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17BC">
              <w:rPr>
                <w:rFonts w:asciiTheme="minorHAnsi" w:hAnsiTheme="minorHAnsi" w:cstheme="minorHAnsi"/>
                <w:b/>
                <w:sz w:val="18"/>
                <w:szCs w:val="20"/>
              </w:rPr>
              <w:t>13 257,46</w:t>
            </w:r>
          </w:p>
        </w:tc>
      </w:tr>
      <w:tr w:rsidR="007301AD" w:rsidRPr="003A2508" w:rsidTr="005935C0">
        <w:tc>
          <w:tcPr>
            <w:tcW w:w="1196" w:type="pct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119" w:type="pct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Obsługa księgowa 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800,00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800,00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2902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80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2902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301AD" w:rsidRPr="005D0A4F" w:rsidRDefault="007301AD" w:rsidP="005935C0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14 000,00</w:t>
            </w:r>
          </w:p>
        </w:tc>
        <w:tc>
          <w:tcPr>
            <w:tcW w:w="1119" w:type="pct"/>
          </w:tcPr>
          <w:p w:rsidR="007301AD" w:rsidRPr="005D0A4F" w:rsidRDefault="007301AD" w:rsidP="005935C0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14 057,46</w:t>
            </w:r>
          </w:p>
        </w:tc>
      </w:tr>
    </w:tbl>
    <w:p w:rsidR="007301AD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7301AD" w:rsidRPr="00AE24D0" w:rsidTr="005935C0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7301AD" w:rsidRPr="00AE24D0" w:rsidTr="005935C0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CE4C51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CE4C51" w:rsidRDefault="007301AD" w:rsidP="005935C0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7301AD" w:rsidRPr="00AE24D0" w:rsidTr="005935C0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  <w:tr w:rsidR="007301AD" w:rsidRPr="00AE24D0" w:rsidTr="005935C0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12 500,00 zł.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12 500,00zł.</w:t>
            </w: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301AD" w:rsidRPr="009632D6" w:rsidRDefault="007301AD" w:rsidP="005935C0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1500,00 zł.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 xml:space="preserve">                                  1557,46zł.</w:t>
            </w:r>
          </w:p>
        </w:tc>
      </w:tr>
      <w:tr w:rsidR="007301AD" w:rsidRPr="00AE24D0" w:rsidTr="005935C0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1500,00 zł.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1557,46zł.</w:t>
            </w:r>
          </w:p>
        </w:tc>
      </w:tr>
      <w:tr w:rsidR="007301AD" w:rsidRPr="00AE24D0" w:rsidTr="005935C0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Default="007301AD" w:rsidP="005935C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301AD" w:rsidRPr="00AE24D0" w:rsidRDefault="007301AD" w:rsidP="005935C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D84A18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89,28%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88,92%</w:t>
            </w: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01AD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D84A18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12,00%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12,46%</w:t>
            </w: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4A3C7C" w:rsidRDefault="007301AD" w:rsidP="005935C0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</w:tbl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Pr="00AE24D0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7301AD" w:rsidRPr="00AE24D0" w:rsidTr="005935C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1AD" w:rsidRPr="00AE24D0" w:rsidRDefault="007301AD" w:rsidP="005935C0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7301AD" w:rsidRPr="00AE24D0" w:rsidRDefault="007301AD" w:rsidP="005935C0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7301AD" w:rsidRPr="00AE24D0" w:rsidTr="005935C0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1AD" w:rsidRDefault="007301AD" w:rsidP="005935C0">
            <w:pPr>
              <w:rPr>
                <w:rFonts w:asciiTheme="minorHAnsi" w:hAnsiTheme="minorHAnsi" w:cs="Calibri"/>
                <w:sz w:val="20"/>
              </w:rPr>
            </w:pPr>
          </w:p>
          <w:p w:rsidR="007301AD" w:rsidRPr="00AE24D0" w:rsidRDefault="007301AD" w:rsidP="005935C0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:rsidR="007301AD" w:rsidRPr="00AE24D0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7301AD" w:rsidRPr="00AE24D0" w:rsidTr="005935C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1AD" w:rsidRPr="00AE24D0" w:rsidRDefault="007301AD" w:rsidP="005935C0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7301AD" w:rsidRPr="00AE24D0" w:rsidTr="005935C0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1AD" w:rsidRDefault="007301AD" w:rsidP="005935C0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301AD" w:rsidRPr="00AE24D0" w:rsidRDefault="007301AD" w:rsidP="005935C0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301AD" w:rsidRPr="00AE24D0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7301AD" w:rsidRPr="00AE24D0" w:rsidTr="005935C0">
        <w:trPr>
          <w:trHeight w:val="491"/>
        </w:trPr>
        <w:tc>
          <w:tcPr>
            <w:tcW w:w="5000" w:type="pct"/>
            <w:shd w:val="clear" w:color="auto" w:fill="C4BC96"/>
          </w:tcPr>
          <w:p w:rsidR="007301AD" w:rsidRPr="00AE24D0" w:rsidRDefault="007301AD" w:rsidP="005935C0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7301AD" w:rsidRPr="00AE24D0" w:rsidTr="005935C0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1AD" w:rsidRDefault="007301AD" w:rsidP="005935C0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301AD" w:rsidRPr="00AE24D0" w:rsidRDefault="007301AD" w:rsidP="005935C0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301AD" w:rsidRDefault="007301AD" w:rsidP="007301A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301AD" w:rsidRPr="00AE24D0" w:rsidRDefault="007301AD" w:rsidP="007301A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7301AD" w:rsidRPr="00AE24D0" w:rsidRDefault="007301AD" w:rsidP="007301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7301AD" w:rsidRPr="00AE24D0" w:rsidRDefault="007301AD" w:rsidP="007301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7301AD" w:rsidRPr="00AE24D0" w:rsidRDefault="007301AD" w:rsidP="007301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7301AD" w:rsidRPr="00AE24D0" w:rsidRDefault="007301AD" w:rsidP="007301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7301AD" w:rsidRPr="00AE24D0" w:rsidTr="005935C0">
        <w:tc>
          <w:tcPr>
            <w:tcW w:w="7654" w:type="dxa"/>
            <w:shd w:val="clear" w:color="auto" w:fill="auto"/>
          </w:tcPr>
          <w:p w:rsidR="007301AD" w:rsidRPr="00AE24D0" w:rsidRDefault="007301AD" w:rsidP="005935C0">
            <w:pPr>
              <w:ind w:right="-108"/>
              <w:jc w:val="both"/>
              <w:rPr>
                <w:rFonts w:asciiTheme="minorHAnsi" w:hAnsiTheme="minorHAnsi" w:cs="Calibri"/>
                <w:sz w:val="20"/>
              </w:rPr>
            </w:pP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7301AD" w:rsidRPr="009E7A2C" w:rsidRDefault="007301AD" w:rsidP="005935C0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</w:p>
          <w:p w:rsidR="007301AD" w:rsidRPr="00AE24D0" w:rsidRDefault="007301AD" w:rsidP="005935C0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7301AD" w:rsidRPr="00221B7F" w:rsidRDefault="007301AD" w:rsidP="007301AD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POUCZENIE</w:t>
      </w:r>
    </w:p>
    <w:p w:rsidR="007301AD" w:rsidRPr="00221B7F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7301AD" w:rsidRPr="00AE24D0" w:rsidRDefault="007301AD" w:rsidP="007301AD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7301AD" w:rsidRPr="00AE24D0" w:rsidRDefault="007301AD" w:rsidP="007301AD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AA1368" w:rsidRDefault="00AA1368"/>
    <w:sectPr w:rsidR="00AA1368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7E" w:rsidRDefault="0097377E" w:rsidP="007301AD">
      <w:r>
        <w:separator/>
      </w:r>
    </w:p>
  </w:endnote>
  <w:endnote w:type="continuationSeparator" w:id="0">
    <w:p w:rsidR="0097377E" w:rsidRDefault="0097377E" w:rsidP="0073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429844"/>
      <w:docPartObj>
        <w:docPartGallery w:val="Page Numbers (Bottom of Page)"/>
        <w:docPartUnique/>
      </w:docPartObj>
    </w:sdtPr>
    <w:sdtEndPr/>
    <w:sdtContent>
      <w:p w:rsidR="00FA191B" w:rsidRDefault="0061551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347">
          <w:rPr>
            <w:noProof/>
          </w:rPr>
          <w:t>1</w:t>
        </w:r>
        <w:r>
          <w:fldChar w:fldCharType="end"/>
        </w:r>
      </w:p>
    </w:sdtContent>
  </w:sdt>
  <w:p w:rsidR="009632D6" w:rsidRDefault="009737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7E" w:rsidRDefault="0097377E" w:rsidP="007301AD">
      <w:r>
        <w:separator/>
      </w:r>
    </w:p>
  </w:footnote>
  <w:footnote w:type="continuationSeparator" w:id="0">
    <w:p w:rsidR="0097377E" w:rsidRDefault="0097377E" w:rsidP="007301AD">
      <w:r>
        <w:continuationSeparator/>
      </w:r>
    </w:p>
  </w:footnote>
  <w:footnote w:id="1">
    <w:p w:rsidR="007301AD" w:rsidRPr="00C013AD" w:rsidRDefault="007301AD" w:rsidP="007301A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7301AD" w:rsidRPr="0074640D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7301AD" w:rsidRPr="00C013AD" w:rsidRDefault="007301AD" w:rsidP="007301AD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AD"/>
    <w:rsid w:val="000967B9"/>
    <w:rsid w:val="00410347"/>
    <w:rsid w:val="00615519"/>
    <w:rsid w:val="007301AD"/>
    <w:rsid w:val="0097377E"/>
    <w:rsid w:val="00AA1368"/>
    <w:rsid w:val="00D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1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01AD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01AD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73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30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1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30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01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7301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01A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301A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01A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1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01AD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01AD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73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30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1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30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01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7301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01A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301A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01A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Monika Sawa</cp:lastModifiedBy>
  <cp:revision>2</cp:revision>
  <dcterms:created xsi:type="dcterms:W3CDTF">2024-09-17T05:51:00Z</dcterms:created>
  <dcterms:modified xsi:type="dcterms:W3CDTF">2024-09-17T05:51:00Z</dcterms:modified>
</cp:coreProperties>
</file>